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media/image1.wmf" ContentType="image/x-wmf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b/>
          <w:b/>
          <w:color w:val="000000"/>
          <w:sz w:val="20"/>
          <w:szCs w:val="22"/>
          <w:lang w:eastAsia="en-US"/>
        </w:rPr>
      </w:pP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  <w:t>MODELO DE ATA DE REGISTRO DE PREÇOS</w:t>
      </w:r>
      <w:r>
        <w:rPr>
          <w:rFonts w:eastAsia="Calibri" w:cs="Arial" w:ascii="Arial" w:hAnsi="Arial"/>
          <w:b/>
          <w:bCs/>
          <w:color w:val="000000"/>
          <w:sz w:val="20"/>
          <w:szCs w:val="20"/>
          <w:lang w:eastAsia="en-US"/>
        </w:rPr>
        <w:t xml:space="preserve"> </w:t>
        <w:br/>
      </w: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  <w:t>Lei nº 14.133, de 1º de abril de 2021</w:t>
      </w:r>
    </w:p>
    <w:p>
      <w:pPr>
        <w:pStyle w:val="Normal"/>
        <w:spacing w:lineRule="auto" w:line="312" w:before="360" w:after="288"/>
        <w:jc w:val="center"/>
        <w:rPr>
          <w:rFonts w:ascii="Calibri" w:hAnsi="Calibri"/>
          <w:b/>
          <w:b/>
          <w:bCs/>
          <w:color w:val="000000"/>
          <w:sz w:val="23"/>
          <w:szCs w:val="23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Arial" w:ascii="Arial" w:hAnsi="Arial"/>
          <w:b/>
          <w:bCs/>
          <w:i/>
          <w:color w:val="000000"/>
          <w:sz w:val="20"/>
          <w:szCs w:val="20"/>
          <w:lang w:eastAsia="en-US"/>
        </w:rPr>
        <w:t>COMANDO DO PRIMEIRO DISTRITO NAVAL</w:t>
      </w:r>
    </w:p>
    <w:p>
      <w:pPr>
        <w:pStyle w:val="Normal"/>
        <w:spacing w:lineRule="auto" w:line="312" w:before="120" w:after="0"/>
        <w:jc w:val="center"/>
        <w:rPr>
          <w:rFonts w:ascii="Arial" w:hAnsi="Arial" w:eastAsia="Calibri" w:cs="Arial"/>
          <w:bCs/>
          <w:color w:val="000000"/>
          <w:sz w:val="20"/>
          <w:szCs w:val="20"/>
          <w:lang w:eastAsia="en-US"/>
        </w:rPr>
      </w:pP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 xml:space="preserve">Processo 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>Administrativo n</w:t>
      </w:r>
      <w:r>
        <w:rPr>
          <w:rFonts w:eastAsia="Calibri" w:cs="Arial" w:ascii="Arial" w:hAnsi="Arial"/>
          <w:bCs/>
          <w:color w:val="000000"/>
          <w:sz w:val="20"/>
          <w:szCs w:val="20"/>
          <w:lang w:eastAsia="en-US"/>
        </w:rPr>
        <w:t>° 62002.005395/2025-31</w:t>
      </w:r>
    </w:p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color w:val="000000"/>
          <w:sz w:val="20"/>
          <w:szCs w:val="22"/>
          <w:lang w:eastAsia="en-US"/>
        </w:rPr>
      </w:pP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>nº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i/>
          <w:iCs/>
          <w:color w:val="FF0000"/>
          <w:sz w:val="20"/>
          <w:szCs w:val="20"/>
          <w:lang w:eastAsia="en-US"/>
        </w:rPr>
        <w:t>XXX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>/</w:t>
      </w:r>
      <w:r>
        <w:rPr>
          <w:rFonts w:eastAsia="Calibri" w:cs="Arial" w:ascii="Arial" w:hAnsi="Arial"/>
          <w:i/>
          <w:iCs/>
          <w:color w:val="FF0000"/>
          <w:sz w:val="20"/>
          <w:szCs w:val="20"/>
          <w:lang w:eastAsia="en-US"/>
        </w:rPr>
        <w:t>XXXX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O(A) </w:t>
      </w:r>
      <w:r>
        <w:rPr>
          <w:rFonts w:cs="Arial" w:ascii="Arial" w:hAnsi="Arial"/>
          <w:i/>
          <w:iCs/>
          <w:color w:val="FF0000"/>
          <w:sz w:val="20"/>
          <w:szCs w:val="20"/>
        </w:rPr>
        <w:t>[órgão ou entidade pública que gerenciará a ata de registro de preços]</w:t>
      </w:r>
      <w:r>
        <w:rPr>
          <w:rFonts w:cs="Arial" w:ascii="Arial" w:hAnsi="Arial"/>
          <w:sz w:val="20"/>
          <w:szCs w:val="20"/>
        </w:rPr>
        <w:t xml:space="preserve">, </w:t>
      </w:r>
      <w:r>
        <w:rPr>
          <w:rFonts w:eastAsia="Arial" w:cs="Arial" w:ascii="Arial" w:hAnsi="Arial"/>
          <w:sz w:val="20"/>
          <w:szCs w:val="20"/>
        </w:rPr>
        <w:t xml:space="preserve">com sede no(a)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[endereço]</w:t>
      </w:r>
      <w:r>
        <w:rPr>
          <w:rFonts w:eastAsia="Arial" w:cs="Arial" w:ascii="Arial" w:hAnsi="Arial"/>
          <w:sz w:val="20"/>
          <w:szCs w:val="20"/>
        </w:rPr>
        <w:t xml:space="preserve">, na cidade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[cidade]</w:t>
      </w:r>
      <w:r>
        <w:rPr>
          <w:rFonts w:eastAsia="Arial" w:cs="Arial" w:ascii="Arial" w:hAnsi="Arial"/>
          <w:sz w:val="20"/>
          <w:szCs w:val="20"/>
        </w:rPr>
        <w:t>/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[UF]</w:t>
      </w:r>
      <w:r>
        <w:rPr>
          <w:rFonts w:eastAsia="Arial" w:cs="Arial" w:ascii="Arial" w:hAnsi="Arial"/>
          <w:sz w:val="20"/>
          <w:szCs w:val="20"/>
        </w:rPr>
        <w:t xml:space="preserve">, inscrito(a) no CNPJ sob o nº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[CNPJ]</w:t>
      </w:r>
      <w:r>
        <w:rPr>
          <w:rFonts w:eastAsia="Arial" w:cs="Arial" w:ascii="Arial" w:hAnsi="Arial"/>
          <w:sz w:val="20"/>
          <w:szCs w:val="20"/>
        </w:rPr>
        <w:t xml:space="preserve">, neste ato representado(a) pelo(a) </w:t>
      </w:r>
      <w:r>
        <w:rPr>
          <w:rFonts w:eastAsia="Arial" w:cs="Arial" w:ascii="Arial" w:hAnsi="Arial"/>
          <w:color w:val="FF0000"/>
          <w:sz w:val="20"/>
          <w:szCs w:val="20"/>
        </w:rPr>
        <w:t>[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cargo e nome</w:t>
      </w:r>
      <w:r>
        <w:rPr>
          <w:rFonts w:eastAsia="Arial" w:cs="Arial" w:ascii="Arial" w:hAnsi="Arial"/>
          <w:color w:val="FF0000"/>
          <w:sz w:val="20"/>
          <w:szCs w:val="20"/>
        </w:rPr>
        <w:t>]</w:t>
      </w:r>
      <w:r>
        <w:rPr>
          <w:rFonts w:eastAsia="Arial" w:cs="Arial" w:ascii="Arial" w:hAnsi="Arial"/>
          <w:sz w:val="20"/>
          <w:szCs w:val="20"/>
        </w:rPr>
        <w:t xml:space="preserve">, nomeado(a) pela Portaria nº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XX</w:t>
      </w:r>
      <w:r>
        <w:rPr>
          <w:rFonts w:eastAsia="Arial" w:cs="Arial" w:ascii="Arial" w:hAnsi="Arial"/>
          <w:sz w:val="20"/>
          <w:szCs w:val="20"/>
        </w:rPr>
        <w:t xml:space="preserve">,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[dia]</w:t>
      </w:r>
      <w:r>
        <w:rPr>
          <w:rFonts w:eastAsia="Arial" w:cs="Arial" w:ascii="Arial" w:hAnsi="Arial"/>
          <w:sz w:val="20"/>
          <w:szCs w:val="20"/>
        </w:rPr>
        <w:t xml:space="preserve">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[mês]</w:t>
      </w:r>
      <w:r>
        <w:rPr>
          <w:rFonts w:ascii="Arial" w:hAnsi="Arial"/>
          <w:color w:val="FF0000"/>
          <w:sz w:val="20"/>
        </w:rPr>
        <w:t xml:space="preserve"> </w:t>
      </w:r>
      <w:r>
        <w:rPr>
          <w:rFonts w:eastAsia="Arial" w:cs="Arial" w:ascii="Arial" w:hAnsi="Arial"/>
          <w:sz w:val="20"/>
          <w:szCs w:val="20"/>
        </w:rPr>
        <w:t xml:space="preserve">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[ano]</w:t>
      </w:r>
      <w:r>
        <w:rPr>
          <w:rFonts w:eastAsia="Arial" w:cs="Arial" w:ascii="Arial" w:hAnsi="Arial"/>
          <w:sz w:val="20"/>
          <w:szCs w:val="20"/>
        </w:rPr>
        <w:t>, publicada no</w:t>
      </w:r>
      <w:r>
        <w:rPr>
          <w:rFonts w:eastAsia="Arial" w:cs="Arial" w:ascii="Arial" w:hAnsi="Arial"/>
          <w:i/>
          <w:iCs/>
          <w:sz w:val="20"/>
          <w:szCs w:val="20"/>
        </w:rPr>
        <w:t xml:space="preserve"> DOU </w:t>
      </w:r>
      <w:r>
        <w:rPr>
          <w:rFonts w:eastAsia="Arial" w:cs="Arial" w:ascii="Arial" w:hAnsi="Arial"/>
          <w:sz w:val="20"/>
          <w:szCs w:val="20"/>
        </w:rPr>
        <w:t xml:space="preserve">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[dia]</w:t>
      </w:r>
      <w:r>
        <w:rPr>
          <w:rFonts w:eastAsia="Arial" w:cs="Arial" w:ascii="Arial" w:hAnsi="Arial"/>
          <w:sz w:val="20"/>
          <w:szCs w:val="20"/>
        </w:rPr>
        <w:t xml:space="preserve">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[mês]</w:t>
      </w:r>
      <w:r>
        <w:rPr>
          <w:rFonts w:ascii="Arial" w:hAnsi="Arial"/>
          <w:color w:val="FF0000"/>
          <w:sz w:val="20"/>
        </w:rPr>
        <w:t xml:space="preserve"> </w:t>
      </w:r>
      <w:r>
        <w:rPr>
          <w:rFonts w:eastAsia="Arial" w:cs="Arial" w:ascii="Arial" w:hAnsi="Arial"/>
          <w:sz w:val="20"/>
          <w:szCs w:val="20"/>
        </w:rPr>
        <w:t xml:space="preserve">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[ano]</w:t>
      </w:r>
      <w:r>
        <w:rPr>
          <w:rFonts w:eastAsia="Arial" w:cs="Arial" w:ascii="Arial" w:hAnsi="Arial"/>
          <w:sz w:val="20"/>
          <w:szCs w:val="20"/>
        </w:rPr>
        <w:t xml:space="preserve">, portador da Matrícula Funcional nº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[nº matrícula]</w:t>
      </w:r>
      <w:r>
        <w:rPr>
          <w:rFonts w:eastAsia="Arial" w:cs="Arial" w:ascii="Arial" w:hAnsi="Arial"/>
          <w:sz w:val="20"/>
          <w:szCs w:val="20"/>
        </w:rPr>
        <w:t>,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  <w:highlight w:val="yellow"/>
        </w:rPr>
        <w:t xml:space="preserve">considerando o julgamento da </w:t>
      </w:r>
      <w:r>
        <w:rPr>
          <w:rFonts w:cs="Arial" w:ascii="Arial" w:hAnsi="Arial"/>
          <w:i/>
          <w:iCs/>
          <w:color w:val="FF0000"/>
          <w:sz w:val="20"/>
          <w:szCs w:val="20"/>
          <w:highlight w:val="yellow"/>
        </w:rPr>
        <w:t>[licitação na modalidade de pregão, na forma eletrônica]</w:t>
      </w:r>
      <w:r>
        <w:rPr>
          <w:rFonts w:cs="Arial" w:ascii="Arial" w:hAnsi="Arial"/>
          <w:color w:val="FF0000"/>
          <w:sz w:val="20"/>
          <w:szCs w:val="20"/>
          <w:highlight w:val="yellow"/>
        </w:rPr>
        <w:t xml:space="preserve"> </w:t>
      </w:r>
      <w:r>
        <w:rPr>
          <w:rFonts w:cs="Arial" w:ascii="Arial" w:hAnsi="Arial"/>
          <w:i/>
          <w:iCs/>
          <w:color w:val="FF0000"/>
          <w:sz w:val="20"/>
          <w:szCs w:val="20"/>
          <w:highlight w:val="yellow"/>
        </w:rPr>
        <w:t>OU [procedimento de contratação direta]</w:t>
      </w:r>
      <w:r>
        <w:rPr>
          <w:rFonts w:cs="Arial" w:ascii="Arial" w:hAnsi="Arial"/>
          <w:sz w:val="20"/>
          <w:szCs w:val="20"/>
          <w:highlight w:val="yellow"/>
        </w:rPr>
        <w:t>, para REGISTRO DE PREÇOS nº ......./202..., publicada no ...... de ...../...../202.....,</w:t>
      </w:r>
      <w:r>
        <w:rPr>
          <w:rFonts w:cs="Arial" w:ascii="Arial" w:hAnsi="Arial"/>
          <w:sz w:val="20"/>
          <w:szCs w:val="20"/>
        </w:rPr>
        <w:t xml:space="preserve"> processo administrativo n.º </w:t>
      </w:r>
      <w:r>
        <w:rPr>
          <w:rFonts w:cs="Arial" w:ascii="Arial" w:hAnsi="Arial"/>
          <w:bCs/>
          <w:i/>
          <w:iCs/>
          <w:color w:val="FF0000"/>
          <w:sz w:val="20"/>
          <w:szCs w:val="20"/>
        </w:rPr>
        <w:t>xxxxx</w:t>
      </w:r>
      <w:r>
        <w:rPr>
          <w:rFonts w:cs="Arial" w:ascii="Arial" w:hAnsi="Arial"/>
          <w:bCs/>
          <w:sz w:val="20"/>
          <w:szCs w:val="20"/>
        </w:rPr>
        <w:t>.</w:t>
      </w:r>
      <w:r>
        <w:rPr>
          <w:rFonts w:cs="Arial" w:ascii="Arial" w:hAnsi="Arial"/>
          <w:bCs/>
          <w:i/>
          <w:iCs/>
          <w:color w:val="FF0000"/>
          <w:sz w:val="20"/>
          <w:szCs w:val="20"/>
        </w:rPr>
        <w:t>xxxxxx</w:t>
      </w:r>
      <w:r>
        <w:rPr>
          <w:rFonts w:cs="Arial" w:ascii="Arial" w:hAnsi="Arial"/>
          <w:bCs/>
          <w:sz w:val="20"/>
          <w:szCs w:val="20"/>
        </w:rPr>
        <w:t>/</w:t>
      </w:r>
      <w:r>
        <w:rPr>
          <w:rFonts w:cs="Arial" w:ascii="Arial" w:hAnsi="Arial"/>
          <w:bCs/>
          <w:i/>
          <w:iCs/>
          <w:color w:val="FF0000"/>
          <w:sz w:val="20"/>
          <w:szCs w:val="20"/>
        </w:rPr>
        <w:t>xxxx</w:t>
      </w:r>
      <w:r>
        <w:rPr>
          <w:rFonts w:cs="Arial" w:ascii="Arial" w:hAnsi="Arial"/>
          <w:bCs/>
          <w:sz w:val="20"/>
          <w:szCs w:val="20"/>
        </w:rPr>
        <w:t>-</w:t>
      </w:r>
      <w:r>
        <w:rPr>
          <w:rFonts w:cs="Arial" w:ascii="Arial" w:hAnsi="Arial"/>
          <w:bCs/>
          <w:i/>
          <w:iCs/>
          <w:color w:val="FF0000"/>
          <w:sz w:val="20"/>
          <w:szCs w:val="20"/>
        </w:rPr>
        <w:t>xx</w:t>
      </w:r>
      <w:r>
        <w:rPr>
          <w:rFonts w:cs="Arial" w:ascii="Arial" w:hAnsi="Arial"/>
          <w:sz w:val="20"/>
          <w:szCs w:val="20"/>
        </w:rPr>
        <w:t xml:space="preserve">, RESOLVE registrar os preços da(s) empresa(s) indicada(s) e qualificada(s) nesta ATA, de acordo com a classificação por ela(s) alcançada(s) e na(s) quantidade(s) cotada(s), atendendo as condições previstas no </w:t>
      </w:r>
      <w:r>
        <w:rPr>
          <w:rFonts w:cs="Arial" w:ascii="Arial" w:hAnsi="Arial"/>
          <w:i/>
          <w:iCs/>
          <w:color w:val="FF0000"/>
          <w:sz w:val="20"/>
          <w:szCs w:val="20"/>
        </w:rPr>
        <w:t>[Edital de licitação] OU [Aviso da Contratação Direta]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presente Ata tem por objeto o registro de preços para a eventual contratação de </w:t>
      </w:r>
      <w:r>
        <w:rPr>
          <w:rStyle w:val="Nfaseforte"/>
          <w:rFonts w:eastAsia="Calibri" w:cs="Calibri" w:ascii="Calibri" w:hAnsi="Calibri"/>
          <w:i w:val="false"/>
          <w:iCs w:val="false"/>
          <w:strike w:val="false"/>
          <w:dstrike w:val="false"/>
          <w:outline w:val="false"/>
          <w:shadow w:val="false"/>
          <w:color w:val="000000"/>
          <w:spacing w:val="-3"/>
          <w:kern w:val="0"/>
          <w:position w:val="0"/>
          <w:sz w:val="24"/>
          <w:sz w:val="24"/>
          <w:szCs w:val="24"/>
          <w:u w:val="none"/>
          <w:shd w:fill="FFFFFF" w:val="clear"/>
          <w:vertAlign w:val="baseline"/>
          <w:em w:val="none"/>
          <w:lang w:val="pt-BR" w:eastAsia="en-US" w:bidi="ar-SA"/>
        </w:rPr>
        <w:t>Eventual aquisição de materiais de pintura, tintas e materiais de marinharia para a manutenção e conservação do Comando do 1° Distrito Naval (COM1ºDN), para o Hotel de Trânsito da Marinha do Rio de Janeiro(HTMRJ) e Posto Oceanográfico da Ilha da Trindade(POIT)</w:t>
      </w:r>
      <w:r>
        <w:rPr/>
        <w:t>, esp</w:t>
      </w:r>
      <w:r>
        <w:rPr>
          <w:color w:val="000000"/>
        </w:rPr>
        <w:t xml:space="preserve">ecificado(s) no(s) item(ns) </w:t>
      </w:r>
      <w:r>
        <w:rPr>
          <w:color w:val="000000"/>
        </w:rPr>
        <w:t>1.1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do Termo de Referência, anexo </w:t>
      </w:r>
      <w:r>
        <w:rPr>
          <w:color w:val="000000"/>
        </w:rPr>
        <w:t>I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>do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edital de licitação </w:t>
      </w:r>
      <w:r>
        <w:rPr>
          <w:color w:val="000000"/>
        </w:rPr>
        <w:t xml:space="preserve">n.º </w:t>
      </w:r>
      <w:r>
        <w:rPr>
          <w:bCs/>
          <w:i/>
          <w:iCs/>
          <w:color w:val="000000"/>
        </w:rPr>
        <w:t>90017</w:t>
      </w:r>
      <w:r>
        <w:rPr>
          <w:bCs/>
          <w:color w:val="000000"/>
        </w:rPr>
        <w:t>/</w:t>
      </w:r>
      <w:r>
        <w:rPr>
          <w:bCs/>
          <w:i/>
          <w:iCs/>
          <w:color w:val="000000"/>
        </w:rPr>
        <w:t>2025</w:t>
      </w:r>
      <w:r>
        <w:rPr>
          <w:color w:val="000000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commentRangeStart w:id="0"/>
      <w:r>
        <w:rPr/>
        <w:t>O preço registrado</w:t>
      </w:r>
      <w:r>
        <w:rPr/>
      </w:r>
      <w:commentRangeEnd w:id="0"/>
      <w:r>
        <w:commentReference w:id="0"/>
      </w:r>
      <w:r>
        <w:rPr/>
        <w:t xml:space="preserve">, as especificações do objeto, </w:t>
      </w:r>
      <w:commentRangeStart w:id="1"/>
      <w:r>
        <w:rPr/>
        <w:t>as quantidades mínimas e máximas de cada item</w:t>
      </w:r>
      <w:r>
        <w:rPr/>
      </w:r>
      <w:commentRangeEnd w:id="1"/>
      <w:r>
        <w:commentReference w:id="1"/>
      </w:r>
      <w:r>
        <w:rPr/>
        <w:t xml:space="preserve">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lang w:eastAsia="en-US"/>
        </w:rPr>
      </w:pPr>
      <w:commentRangeStart w:id="2"/>
      <w:r>
        <w:rPr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lang w:eastAsia="en-US"/>
        </w:rPr>
      </w:r>
    </w:p>
    <w:p>
      <w:pPr>
        <w:pStyle w:val="Nivel01"/>
        <w:numPr>
          <w:ilvl w:val="0"/>
          <w:numId w:val="1"/>
        </w:numPr>
        <w:ind w:left="0" w:hanging="0"/>
        <w:rPr/>
      </w:pPr>
      <w:commentRangeStart w:id="3"/>
      <w:commentRangeStart w:id="4"/>
      <w:r>
        <w:rPr/>
        <w:t>ÓRGÃO(S) GERENCIADOR E PARTICIPANTE(S)</w:t>
      </w:r>
      <w:r>
        <w:rPr/>
      </w:r>
      <w:commentRangeEnd w:id="4"/>
      <w:r>
        <w:commentReference w:id="4"/>
      </w:r>
      <w:commentRangeEnd w:id="3"/>
      <w:r>
        <w:commentReference w:id="3"/>
      </w:r>
      <w:r>
        <w:rPr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órgão gerenciador será o </w:t>
      </w:r>
      <w:r>
        <w:rPr>
          <w:rFonts w:ascii="Calibri" w:hAnsi="Calibri"/>
          <w:b/>
          <w:bCs/>
          <w:color w:val="000000"/>
          <w:sz w:val="23"/>
          <w:szCs w:val="23"/>
        </w:rPr>
        <w:t>COMANDO DO PRIMEIRO DISTRITO NAVAL.</w:t>
      </w:r>
    </w:p>
    <w:p>
      <w:pPr>
        <w:pStyle w:val="Nvel2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</w:rPr>
        <w:t>Além do gerenciador, não há órgãos e entidades públicas participantes do registro de preços.</w:t>
      </w:r>
    </w:p>
    <w:p>
      <w:pPr>
        <w:pStyle w:val="Nivel01"/>
        <w:numPr>
          <w:ilvl w:val="0"/>
          <w:numId w:val="1"/>
        </w:numPr>
        <w:ind w:left="0" w:hanging="0"/>
        <w:rPr>
          <w:color w:val="000000"/>
        </w:rPr>
      </w:pPr>
      <w:r>
        <w:rPr>
          <w:color w:val="000000"/>
        </w:rPr>
        <w:t>DA ADESÃO À ATA DE REGISTRO DE PREÇOS</w:t>
      </w:r>
    </w:p>
    <w:p>
      <w:pPr>
        <w:pStyle w:val="Nvel2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  <w:lang w:eastAsia="en-US"/>
        </w:rPr>
        <w:t xml:space="preserve"> </w:t>
      </w:r>
      <w:commentRangeStart w:id="5"/>
      <w:r>
        <w:rPr>
          <w:color w:val="000000"/>
          <w:lang w:eastAsia="en-US"/>
        </w:rPr>
        <w:t xml:space="preserve">Não será admitida a adesão à ata de registro de preços </w:t>
      </w:r>
      <w:r>
        <w:rPr>
          <w:color w:val="000000"/>
          <w:lang w:eastAsia="en-US"/>
        </w:rPr>
      </w:r>
      <w:commentRangeEnd w:id="5"/>
      <w:r>
        <w:commentReference w:id="5"/>
      </w:r>
      <w:r>
        <w:rPr>
          <w:color w:val="000000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Ou"/>
        <w:rPr/>
      </w:pPr>
      <w:r>
        <w:rPr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adesão à ata de registro de preços por órgãos e en</w:t>
      </w:r>
      <w:r>
        <w:rPr>
          <w:rFonts w:eastAsia="Arial"/>
        </w:rPr>
        <w:t>ti</w:t>
      </w:r>
      <w:r>
        <w:rPr/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</w:rPr>
        <w:t>ti</w:t>
      </w:r>
      <w:r>
        <w:rPr/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 xml:space="preserve">A validade da Ata de Registro de Preços será de 1 (um) ano, contado a </w:t>
      </w:r>
      <w:commentRangeStart w:id="6"/>
      <w:r>
        <w:rPr/>
        <w:t>partir</w:t>
      </w:r>
      <w:r>
        <w:rPr/>
      </w:r>
      <w:commentRangeEnd w:id="6"/>
      <w:r>
        <w:commentReference w:id="6"/>
      </w:r>
      <w:r>
        <w:rPr/>
        <w:t xml:space="preserve"> do primeiro dia útil subsequente à data de divulgação no PNCP, </w:t>
      </w:r>
      <w:r>
        <w:rPr>
          <w:color w:val="FF0000"/>
        </w:rPr>
        <w:t>podendo ser prorrogada por igual período, mediante a anuência do fornecedor, desde que comprovado o preço vantajoso</w:t>
      </w:r>
      <w:r>
        <w:rPr/>
        <w:t>.</w:t>
      </w:r>
    </w:p>
    <w:p>
      <w:pPr>
        <w:pStyle w:val="Nvel3R"/>
        <w:numPr>
          <w:ilvl w:val="2"/>
          <w:numId w:val="1"/>
        </w:numPr>
        <w:ind w:left="284" w:hanging="0"/>
        <w:rPr>
          <w:color w:val="000000"/>
        </w:rPr>
      </w:pPr>
      <w:commentRangeStart w:id="7"/>
      <w:r>
        <w:rPr>
          <w:i w:val="false"/>
          <w:iCs w:val="false"/>
          <w:color w:val="000000"/>
          <w:highlight w:val="yellow"/>
        </w:rPr>
        <w:t xml:space="preserve">Em caso de prorrogação da ata, </w:t>
      </w:r>
      <w:r>
        <w:rPr>
          <w:color w:val="000000"/>
          <w:highlight w:val="yellow"/>
        </w:rPr>
        <w:t xml:space="preserve">poderá </w:t>
      </w:r>
      <w:r>
        <w:rPr>
          <w:i w:val="false"/>
          <w:iCs w:val="false"/>
          <w:color w:val="000000"/>
          <w:highlight w:val="yellow"/>
        </w:rPr>
        <w:t>ser renovado o quantitativo originalmente registrado.</w:t>
      </w:r>
      <w:commentRangeEnd w:id="7"/>
      <w:r>
        <w:commentReference w:id="7"/>
      </w:r>
      <w:r>
        <w:rPr>
          <w:i w:val="false"/>
          <w:iCs w:val="false"/>
          <w:color w:val="000000"/>
          <w:highlight w:val="yellow"/>
        </w:rPr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</w:t>
      </w:r>
      <w:r>
        <w:rPr>
          <w:color w:val="000000"/>
        </w:rPr>
        <w:t>ilidade de o licitante oferecer ou não proposta em quantitativo inferior ao máximo previsto no</w:t>
      </w:r>
      <w:r>
        <w:rPr>
          <w:i/>
          <w:iCs/>
          <w:color w:val="000000"/>
        </w:rPr>
        <w:t xml:space="preserve"> </w:t>
      </w:r>
      <w:r>
        <w:rPr>
          <w:i/>
          <w:color w:val="000000"/>
        </w:rPr>
        <w:t xml:space="preserve">edital </w:t>
      </w:r>
      <w:r>
        <w:rPr>
          <w:color w:val="000000"/>
        </w:rPr>
        <w:t>e se obrigar n</w:t>
      </w:r>
      <w:r>
        <w:rPr/>
        <w:t>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Quando o licitante</w:t>
      </w:r>
      <w:r>
        <w:rPr>
          <w:color w:val="000000"/>
        </w:rPr>
        <w:t xml:space="preserve"> vencedor não assinar a ata de registro de preços, no prazo e nas condições estabelecidos no</w:t>
      </w:r>
      <w:r>
        <w:rPr>
          <w:i/>
          <w:iCs/>
          <w:color w:val="000000"/>
        </w:rPr>
        <w:t xml:space="preserve"> </w:t>
      </w:r>
      <w:r>
        <w:rPr>
          <w:i/>
          <w:color w:val="000000"/>
        </w:rPr>
        <w:t>edital</w:t>
      </w:r>
      <w:r>
        <w:rPr>
          <w:i/>
          <w:iCs/>
          <w:color w:val="000000"/>
        </w:rPr>
        <w:t>;</w:t>
      </w:r>
      <w:r>
        <w:rPr>
          <w:color w:val="000000"/>
        </w:rPr>
        <w:t xml:space="preserve"> </w:t>
      </w:r>
      <w:r>
        <w:rPr>
          <w:color w:val="000000"/>
        </w:rPr>
        <w:t>e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color w:val="000000"/>
        </w:rPr>
        <w:t>Quando houver o canc</w:t>
      </w:r>
      <w:r>
        <w:rPr/>
        <w:t xml:space="preserve">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\h </w:instrText>
      </w:r>
      <w:r>
        <w:rPr/>
        <w:fldChar w:fldCharType="separate"/>
      </w:r>
      <w:r>
        <w:rPr/>
        <w:t>9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Quando o convocado não assinar a ata de registro de preços no prazo e nas condições estabelecidos no edital ou no aviso de contratação,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Na hipótese de nenhum dos licitantes que trata o item 5.4.2.1, aceitar a contratação nos termos </w:t>
      </w:r>
      <w:r>
        <w:rPr>
          <w:color w:val="000000"/>
        </w:rPr>
        <w:t>do item anterior, a Administração, observados o valor es</w:t>
      </w:r>
      <w:r>
        <w:rPr>
          <w:rFonts w:eastAsia="Arial"/>
          <w:color w:val="000000"/>
        </w:rPr>
        <w:t>ti</w:t>
      </w:r>
      <w:r>
        <w:rPr>
          <w:color w:val="000000"/>
        </w:rPr>
        <w:t xml:space="preserve">mado e sua eventual atualização nos termos do </w:t>
      </w:r>
      <w:r>
        <w:rPr>
          <w:i/>
          <w:color w:val="000000"/>
        </w:rPr>
        <w:t>edital</w:t>
      </w:r>
      <w:r>
        <w:rPr>
          <w:color w:val="000000"/>
        </w:rPr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color w:val="000000"/>
        </w:rPr>
        <w:t>C</w:t>
      </w:r>
      <w:r>
        <w:rPr/>
        <w:t>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</w:t>
      </w:r>
      <w:commentRangeStart w:id="8"/>
      <w:r>
        <w:rPr/>
        <w:t>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/>
      </w:r>
      <w:commentRangeEnd w:id="8"/>
      <w:r>
        <w:commentReference w:id="8"/>
      </w:r>
      <w:r>
        <w:rPr>
          <w:color w:val="0000EF"/>
        </w:rPr>
        <w:t>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9"/>
      <w:r>
        <w:rPr/>
        <w:t>s licitantes ou fornecedores que tiveram seu registro cancelado.</w:t>
      </w:r>
      <w:r>
        <w:rPr/>
      </w:r>
      <w:commentRangeEnd w:id="9"/>
      <w:r>
        <w:commentReference w:id="9"/>
      </w:r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commentRangeStart w:id="10"/>
      <w:r>
        <w:rPr/>
        <w:t>REMANEJAMENTO DAS QUANTIDADES REGISTRADAS NA ATA DE REGISTRO DE PREÇOS</w:t>
      </w:r>
      <w:commentRangeEnd w:id="10"/>
      <w:r>
        <w:commentReference w:id="10"/>
      </w:r>
      <w:r>
        <w:rPr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 xml:space="preserve">cipante para órgão ou entidade não participante, serão observados os limites previstos no </w:t>
      </w:r>
      <w:commentRangeStart w:id="11"/>
      <w:r>
        <w:rPr/>
        <w:t>art. 32 do Decreto nº 11.462, de 2023</w:t>
      </w:r>
      <w:r>
        <w:rPr/>
      </w:r>
      <w:commentRangeEnd w:id="11"/>
      <w:r>
        <w:commentReference w:id="11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</w:t>
      </w:r>
      <w:r>
        <w:rPr>
          <w:color w:val="000000"/>
        </w:rPr>
        <w:t xml:space="preserve">descumprimento da Ata de Registro de Preços ensejará aplicação das penalidades estabelecidas </w:t>
      </w:r>
      <w:r>
        <w:rPr>
          <w:iCs/>
          <w:color w:val="000000"/>
        </w:rPr>
        <w:t>no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>edital</w:t>
      </w:r>
      <w:r>
        <w:rPr>
          <w:color w:val="000000"/>
        </w:rPr>
        <w:t>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color w:val="000000"/>
        </w:rPr>
        <w:t>As sanç</w:t>
      </w:r>
      <w:r>
        <w:rPr/>
        <w:t xml:space="preserve">ões também se aplicam aos integrantes do cadastro de reserva no registro de preços que, convocados, não honrarem o compromisso assumido </w:t>
      </w:r>
      <w:commentRangeStart w:id="12"/>
      <w:r>
        <w:rPr/>
        <w:t>injustificadamente</w:t>
      </w:r>
      <w:r>
        <w:rPr/>
      </w:r>
      <w:commentRangeEnd w:id="12"/>
      <w:r>
        <w:commentReference w:id="12"/>
      </w:r>
      <w:r>
        <w:rPr/>
        <w:t xml:space="preserve">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As condições gerais de execução do objeto, tais como os prazos para entrega e recebimento, as obrigações da Administração e do </w:t>
      </w:r>
      <w:r>
        <w:rPr>
          <w:color w:val="000000"/>
        </w:rPr>
        <w:t>fornecedor registrado, penalidades e demais condições do ajuste, encontram-se definidos no Termo de Referência, anexo ao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>edital</w:t>
      </w:r>
      <w:r>
        <w:rPr>
          <w:color w:val="000000"/>
        </w:rPr>
        <w:t>.</w:t>
      </w:r>
    </w:p>
    <w:p>
      <w:pPr>
        <w:pStyle w:val="Nvel2Red"/>
        <w:numPr>
          <w:ilvl w:val="1"/>
          <w:numId w:val="1"/>
        </w:numPr>
        <w:ind w:left="0" w:hanging="0"/>
        <w:rPr/>
      </w:pPr>
      <w:r>
        <w:rPr/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FF0000"/>
          <w:sz w:val="20"/>
          <w:szCs w:val="20"/>
        </w:rPr>
        <w:t>....</w:t>
      </w:r>
      <w:r>
        <w:rPr>
          <w:rFonts w:cs="Arial" w:ascii="Arial" w:hAnsi="Arial"/>
          <w:sz w:val="20"/>
          <w:szCs w:val="20"/>
        </w:rPr>
        <w:t xml:space="preserve">) vias de igual teor, que, depois de lida e achada em ordem, vai assinada pelas partes 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  <w:r>
        <w:br w:type="page"/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13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3"/>
      <w:r>
        <w:commentReference w:id="13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1134" w:gutter="0" w:header="708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r>
        <w:rPr>
          <w:rFonts w:ascii="Liberation Serif" w:hAnsi="Liberation Serif" w:eastAsia="DejaVu Sans" w:cs="DejaVu Sans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DejaVu Sans" w:cs="DejaVu Sans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DejaVu Sans" w:cs="DejaVu Sans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DejaVu Sans" w:cs="DejaVu Sans"/>
          <w:lang w:val="en-US" w:eastAsia="en-US" w:bidi="en-US"/>
        </w:rPr>
        <w:t>, apenas nas seguintes situações: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quando for a primeira licitação para o objeto e o órgão ou entidade não tiver registro de demandas anteriores;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 - no caso de alimento perecível;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r>
        <w:rPr>
          <w:rFonts w:ascii="Liberation Serif" w:hAnsi="Liberation Serif" w:eastAsia="DejaVu Sans" w:cs="DejaVu Sans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 - no caso de alimento perecível; ou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[...]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date="0-00-00T00:00:00Z" w:initials="A">
    <w:p>
      <w:r>
        <w:rPr>
          <w:rFonts w:ascii="Liberation Serif" w:hAnsi="Liberation Serif" w:eastAsia="DejaVu Sans" w:cs="DejaVu Sans"/>
          <w:b/>
          <w:bCs/>
          <w:i/>
          <w:iCs/>
          <w:lang w:val="en-US" w:eastAsia="en-US" w:bidi="en-US"/>
        </w:rPr>
        <w:t xml:space="preserve">Nota explicativa: </w:t>
      </w:r>
      <w:r>
        <w:rPr>
          <w:rFonts w:ascii="Liberation Serif" w:hAnsi="Liberation Serif" w:eastAsia="DejaVu Sans" w:cs="DejaVu Sans"/>
          <w:lang w:val="en-US" w:eastAsia="en-US" w:bidi="en-US"/>
        </w:rP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8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9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0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A possibilidade de remanejamento está prevista no art. 30 do Decreto nº 11.462/2023</w:t>
      </w:r>
    </w:p>
  </w:comment>
  <w:comment w:id="11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Art. 32. 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2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DejaVu Sans" w:cs="DejaVu Sans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3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swiss"/>
    <w:pitch w:val="default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Rodap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Rodap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Rodap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Rodap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link w:val="GradeColorida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RChar"/>
    <w:qFormat/>
    <w:rsid w:val="00b73e47"/>
    <w:pPr>
      <w:numPr>
        <w:ilvl w:val="2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comments" Target="comment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LibreOffice/7.3.7.2$Linux_X86_64 LibreOffice_project/30$Build-2</Application>
  <AppVersion>15.0000</AppVersion>
  <Pages>8</Pages>
  <Words>3111</Words>
  <Characters>17156</Characters>
  <CharactersWithSpaces>20045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2025-03-21T11:23:00Z</dcterms:created>
  <dc:creator/>
  <dc:description/>
  <dc:language>pt-BR</dc:language>
  <cp:lastModifiedBy/>
  <cp:lastPrinted>2025-06-27T10:07:47Z</cp:lastPrinted>
  <dcterms:modified xsi:type="dcterms:W3CDTF">2025-06-27T10:07:30Z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